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b/>
          <w:color w:val="000000"/>
          <w:spacing w:val="-20"/>
          <w:w w:val="83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pacing w:val="-20"/>
          <w:w w:val="83"/>
          <w:kern w:val="2"/>
          <w:sz w:val="36"/>
          <w:szCs w:val="36"/>
          <w:shd w:val="clear" w:color="auto" w:fill="FFFFFF"/>
          <w:lang w:val="en-US" w:eastAsia="zh-CN" w:bidi="ar-SA"/>
        </w:rPr>
        <w:t>中共北京建筑大学电气与信息工程学院委员会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pacing w:val="-20"/>
          <w:w w:val="83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pacing w:val="-20"/>
          <w:w w:val="83"/>
          <w:sz w:val="36"/>
          <w:szCs w:val="36"/>
          <w:shd w:val="clear" w:color="auto" w:fill="FFFFFF"/>
        </w:rPr>
        <w:t>关于推荐入党积极分子</w:t>
      </w:r>
      <w:r>
        <w:rPr>
          <w:rFonts w:hint="eastAsia" w:ascii="方正小标宋_GBK" w:hAnsi="方正小标宋_GBK" w:eastAsia="方正小标宋_GBK" w:cs="方正小标宋_GBK"/>
          <w:b/>
          <w:color w:val="000000"/>
          <w:w w:val="83"/>
          <w:sz w:val="36"/>
          <w:szCs w:val="36"/>
          <w:shd w:val="clear" w:color="auto" w:fill="FFFFFF"/>
          <w:lang w:val="en-US" w:eastAsia="zh-CN"/>
        </w:rPr>
        <w:t>参加第六十一期入党积极分子培训班的通知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各学生党支部、学生团支部、学生组织：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/>
        <w:jc w:val="left"/>
        <w:textAlignment w:val="auto"/>
        <w:outlineLvl w:val="9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为贯彻落实《北京建筑大学第61期入党积极分子培训班培训通知》文件精神，严格发展党员工作程序，保障发展党员工作质量，根据我院党员发展现实情况，经学院党委研究决定，各单位需严格按照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要求</w:t>
      </w:r>
      <w:r>
        <w:rPr>
          <w:rFonts w:hint="eastAsia" w:ascii="仿宋" w:hAnsi="仿宋" w:eastAsia="仿宋"/>
          <w:kern w:val="2"/>
          <w:sz w:val="28"/>
          <w:szCs w:val="28"/>
        </w:rPr>
        <w:t>开展推荐工作，其相关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内容</w:t>
      </w:r>
      <w:r>
        <w:rPr>
          <w:rFonts w:hint="eastAsia" w:ascii="仿宋" w:hAnsi="仿宋" w:eastAsia="仿宋"/>
          <w:kern w:val="2"/>
          <w:sz w:val="28"/>
          <w:szCs w:val="28"/>
        </w:rPr>
        <w:t>如下：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/>
          <w:b/>
          <w:kern w:val="2"/>
          <w:sz w:val="28"/>
          <w:szCs w:val="28"/>
        </w:rPr>
      </w:pPr>
      <w:r>
        <w:rPr>
          <w:rFonts w:hint="eastAsia" w:ascii="仿宋" w:hAnsi="仿宋" w:eastAsia="仿宋"/>
          <w:b/>
          <w:kern w:val="2"/>
          <w:sz w:val="28"/>
          <w:szCs w:val="28"/>
        </w:rPr>
        <w:t>一、推荐对象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电气与信息工程</w:t>
      </w:r>
      <w:r>
        <w:rPr>
          <w:rFonts w:hint="eastAsia" w:ascii="仿宋" w:hAnsi="仿宋" w:eastAsia="仿宋"/>
          <w:kern w:val="2"/>
          <w:sz w:val="28"/>
          <w:szCs w:val="28"/>
        </w:rPr>
        <w:t>学院本科生大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kern w:val="2"/>
          <w:sz w:val="28"/>
          <w:szCs w:val="28"/>
        </w:rPr>
        <w:t>至大三年级、研究生</w:t>
      </w:r>
      <w:r>
        <w:rPr>
          <w:rFonts w:hint="eastAsia" w:ascii="仿宋" w:hAnsi="仿宋" w:eastAsia="仿宋"/>
          <w:kern w:val="2"/>
          <w:sz w:val="28"/>
          <w:szCs w:val="28"/>
          <w:lang w:eastAsia="zh-CN"/>
        </w:rPr>
        <w:t>研一</w:t>
      </w:r>
      <w:r>
        <w:rPr>
          <w:rFonts w:hint="eastAsia" w:ascii="仿宋" w:hAnsi="仿宋" w:eastAsia="仿宋"/>
          <w:kern w:val="2"/>
          <w:sz w:val="28"/>
          <w:szCs w:val="28"/>
        </w:rPr>
        <w:t>研二年级、各学生组织中的入党积极分子。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/>
          <w:b/>
          <w:kern w:val="2"/>
          <w:sz w:val="28"/>
          <w:szCs w:val="28"/>
        </w:rPr>
      </w:pPr>
      <w:r>
        <w:rPr>
          <w:rFonts w:hint="eastAsia" w:ascii="仿宋" w:hAnsi="仿宋" w:eastAsia="仿宋"/>
          <w:b/>
          <w:kern w:val="2"/>
          <w:sz w:val="28"/>
          <w:szCs w:val="28"/>
        </w:rPr>
        <w:t>二、推荐资格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2"/>
          <w:sz w:val="28"/>
          <w:szCs w:val="28"/>
        </w:rPr>
        <w:t>1.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积极参加学校组织的各项教育教学活动，自觉遵守国家法律法规及校规校纪，品行端正，无违纪行为。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2017-2018学年第一</w:t>
      </w:r>
      <w:r>
        <w:rPr>
          <w:rFonts w:hint="eastAsia" w:ascii="仿宋" w:hAnsi="仿宋" w:eastAsia="仿宋"/>
          <w:kern w:val="2"/>
          <w:sz w:val="28"/>
          <w:szCs w:val="28"/>
        </w:rPr>
        <w:t>学期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以前</w:t>
      </w:r>
      <w:r>
        <w:rPr>
          <w:rFonts w:hint="eastAsia" w:ascii="仿宋" w:hAnsi="仿宋" w:eastAsia="仿宋"/>
          <w:kern w:val="2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含2017-2018学年第一</w:t>
      </w:r>
      <w:r>
        <w:rPr>
          <w:rFonts w:hint="eastAsia" w:ascii="仿宋" w:hAnsi="仿宋" w:eastAsia="仿宋"/>
          <w:kern w:val="2"/>
          <w:sz w:val="28"/>
          <w:szCs w:val="28"/>
        </w:rPr>
        <w:t>学期</w:t>
      </w:r>
      <w:r>
        <w:rPr>
          <w:rFonts w:hint="eastAsia" w:ascii="仿宋" w:hAnsi="仿宋" w:eastAsia="仿宋"/>
          <w:kern w:val="2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参加并通过学院组织的初级党课培训班</w:t>
      </w:r>
      <w:r>
        <w:rPr>
          <w:rFonts w:hint="eastAsia" w:ascii="仿宋" w:hAnsi="仿宋" w:eastAsia="仿宋"/>
          <w:kern w:val="2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kern w:val="2"/>
          <w:sz w:val="28"/>
          <w:szCs w:val="28"/>
        </w:rPr>
        <w:t>.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 xml:space="preserve"> 在2016-2017学年第二学期及2017-2018学年第一学期</w:t>
      </w:r>
      <w:r>
        <w:rPr>
          <w:rFonts w:hint="eastAsia" w:ascii="仿宋" w:hAnsi="仿宋" w:eastAsia="仿宋"/>
          <w:kern w:val="2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大一年级为2017-2018学年第一学期</w:t>
      </w:r>
      <w:r>
        <w:rPr>
          <w:rFonts w:hint="eastAsia" w:ascii="仿宋" w:hAnsi="仿宋" w:eastAsia="仿宋"/>
          <w:kern w:val="2"/>
          <w:sz w:val="28"/>
          <w:szCs w:val="28"/>
          <w:lang w:eastAsia="zh-CN"/>
        </w:rPr>
        <w:t>），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原则上必修及限选科目</w:t>
      </w:r>
      <w:r>
        <w:rPr>
          <w:rFonts w:hint="eastAsia" w:ascii="仿宋" w:hAnsi="仿宋" w:eastAsia="仿宋"/>
          <w:kern w:val="2"/>
          <w:sz w:val="28"/>
          <w:szCs w:val="28"/>
        </w:rPr>
        <w:t>考试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中</w:t>
      </w:r>
      <w:r>
        <w:rPr>
          <w:rFonts w:hint="eastAsia" w:ascii="仿宋" w:hAnsi="仿宋" w:eastAsia="仿宋"/>
          <w:kern w:val="2"/>
          <w:sz w:val="28"/>
          <w:szCs w:val="28"/>
        </w:rPr>
        <w:t>无挂科</w:t>
      </w:r>
      <w:r>
        <w:rPr>
          <w:rFonts w:hint="eastAsia" w:ascii="仿宋" w:hAnsi="仿宋" w:eastAsia="仿宋"/>
          <w:kern w:val="2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不包含补考通过</w:t>
      </w:r>
      <w:r>
        <w:rPr>
          <w:rFonts w:hint="eastAsia" w:ascii="仿宋" w:hAnsi="仿宋" w:eastAsia="仿宋"/>
          <w:kern w:val="2"/>
          <w:sz w:val="28"/>
          <w:szCs w:val="28"/>
          <w:lang w:eastAsia="zh-CN"/>
        </w:rPr>
        <w:t>），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且必修及限选科目的加权平均分排名</w:t>
      </w:r>
      <w:r>
        <w:rPr>
          <w:rFonts w:hint="eastAsia" w:ascii="仿宋" w:hAnsi="仿宋" w:eastAsia="仿宋"/>
          <w:kern w:val="2"/>
          <w:sz w:val="28"/>
          <w:szCs w:val="28"/>
        </w:rPr>
        <w:t>位于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所在班级</w:t>
      </w:r>
      <w:bookmarkStart w:id="0" w:name="_GoBack"/>
      <w:bookmarkEnd w:id="0"/>
      <w:r>
        <w:rPr>
          <w:rFonts w:hint="eastAsia" w:ascii="仿宋" w:hAnsi="仿宋" w:eastAsia="仿宋"/>
          <w:kern w:val="2"/>
          <w:sz w:val="28"/>
          <w:szCs w:val="28"/>
        </w:rPr>
        <w:t>前50%</w:t>
      </w:r>
      <w:r>
        <w:rPr>
          <w:rFonts w:hint="eastAsia" w:ascii="仿宋" w:hAnsi="仿宋" w:eastAsia="仿宋"/>
          <w:sz w:val="28"/>
          <w:szCs w:val="28"/>
        </w:rPr>
        <w:t>（遵循四舍五入原则）。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/>
          <w:b/>
          <w:kern w:val="2"/>
          <w:sz w:val="28"/>
          <w:szCs w:val="28"/>
        </w:rPr>
      </w:pPr>
      <w:r>
        <w:rPr>
          <w:rFonts w:hint="eastAsia" w:ascii="仿宋" w:hAnsi="仿宋" w:eastAsia="仿宋"/>
          <w:b/>
          <w:kern w:val="2"/>
          <w:sz w:val="28"/>
          <w:szCs w:val="28"/>
        </w:rPr>
        <w:t>三、推荐办法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" w:hAnsi="仿宋" w:eastAsia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/>
          <w:kern w:val="2"/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</w:rPr>
        <w:t>各本科生团支部进行推荐入党积极分子参加高级党课的工作，采取团员大会以无记名投票形式从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具备推荐资格的</w:t>
      </w:r>
      <w:r>
        <w:rPr>
          <w:rFonts w:hint="eastAsia" w:ascii="仿宋" w:hAnsi="仿宋" w:eastAsia="仿宋"/>
          <w:sz w:val="28"/>
          <w:szCs w:val="28"/>
          <w:highlight w:val="none"/>
        </w:rPr>
        <w:t>入党积极分子中推荐出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相应</w:t>
      </w:r>
      <w:r>
        <w:rPr>
          <w:rFonts w:hint="eastAsia" w:ascii="仿宋" w:hAnsi="仿宋" w:eastAsia="仿宋"/>
          <w:sz w:val="28"/>
          <w:szCs w:val="28"/>
          <w:highlight w:val="none"/>
        </w:rPr>
        <w:t>人数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名额分配见附件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2. 各学生组织进行推荐入党积极分子参加高级党课的工作，由学生组织自行采取科学、合理的方法推荐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出相应人数（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名额分配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见附件）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3. 对于未能按分配名额推荐入党积极分子的单位，剩余名额由学院党委进行分配。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四、具体安排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1、培训时间：</w:t>
      </w:r>
      <w:r>
        <w:rPr>
          <w:rFonts w:hint="eastAsia" w:ascii="仿宋" w:hAnsi="仿宋" w:eastAsia="仿宋"/>
          <w:sz w:val="28"/>
          <w:szCs w:val="28"/>
        </w:rPr>
        <w:t>2018年4月11日至5月16日(5-10周)。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2、教学形式和内容：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370"/>
        <w:gridCol w:w="1215"/>
        <w:gridCol w:w="4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70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1215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学时</w:t>
            </w:r>
          </w:p>
        </w:tc>
        <w:tc>
          <w:tcPr>
            <w:tcW w:w="4036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开展形式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理论教学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40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党校统一组织上课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（具体安排见附件）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自学研读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40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自学指定篇目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专题讨论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40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各党支部组织讨论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（详情见后续通知）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  <w:t>社会实践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0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学院党委或党支部组织完成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（详情见后续通知）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/>
          <w:b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kern w:val="2"/>
          <w:sz w:val="28"/>
          <w:szCs w:val="28"/>
          <w:highlight w:val="none"/>
          <w:lang w:eastAsia="zh-CN"/>
        </w:rPr>
        <w:t>五</w:t>
      </w:r>
      <w:r>
        <w:rPr>
          <w:rFonts w:hint="eastAsia" w:ascii="仿宋" w:hAnsi="仿宋" w:eastAsia="仿宋"/>
          <w:b/>
          <w:kern w:val="2"/>
          <w:sz w:val="28"/>
          <w:szCs w:val="28"/>
          <w:highlight w:val="none"/>
        </w:rPr>
        <w:t>、相关要求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" w:hAnsi="仿宋" w:eastAsia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各团支部、学生组织需在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日（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本周三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）之前完成本单位的相关推荐工作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并于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下午3点之前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提交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本单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eastAsia="zh-CN"/>
        </w:rPr>
        <w:t>位的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《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北京建筑大学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第61期积极分子班报名表》（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见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附件）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至dxtzz@bucea.edu.cn。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/>
          <w:b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kern w:val="2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" w:hAnsi="仿宋" w:eastAsia="仿宋"/>
          <w:b/>
          <w:kern w:val="2"/>
          <w:sz w:val="28"/>
          <w:szCs w:val="28"/>
          <w:highlight w:val="none"/>
        </w:rPr>
        <w:t>、考核工作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" w:hAnsi="仿宋" w:eastAsia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1.</w:t>
      </w:r>
      <w:r>
        <w:rPr>
          <w:rFonts w:hint="eastAsia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学员须提前</w:t>
      </w:r>
      <w:r>
        <w:rPr>
          <w:rFonts w:ascii="仿宋" w:hAnsi="仿宋" w:eastAsia="仿宋"/>
          <w:kern w:val="2"/>
          <w:sz w:val="28"/>
          <w:szCs w:val="28"/>
          <w:highlight w:val="none"/>
        </w:rPr>
        <w:t>15分钟到场，在指定区域就坐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，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eastAsia="zh-CN"/>
        </w:rPr>
        <w:t>做好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本期高级党课的考勤签到工作。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" w:hAnsi="仿宋" w:eastAsia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2</w:t>
      </w:r>
      <w:r>
        <w:rPr>
          <w:rFonts w:ascii="仿宋" w:hAnsi="仿宋" w:eastAsia="仿宋"/>
          <w:kern w:val="2"/>
          <w:sz w:val="28"/>
          <w:szCs w:val="28"/>
          <w:highlight w:val="none"/>
        </w:rPr>
        <w:t>.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kern w:val="2"/>
          <w:sz w:val="28"/>
          <w:szCs w:val="28"/>
          <w:highlight w:val="none"/>
        </w:rPr>
        <w:t>参加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高级党课</w:t>
      </w:r>
      <w:r>
        <w:rPr>
          <w:rFonts w:ascii="仿宋" w:hAnsi="仿宋" w:eastAsia="仿宋"/>
          <w:kern w:val="2"/>
          <w:sz w:val="28"/>
          <w:szCs w:val="28"/>
          <w:highlight w:val="none"/>
        </w:rPr>
        <w:t>的学员要以党员标准严格要求自己，自觉遵守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高级党课</w:t>
      </w:r>
      <w:r>
        <w:rPr>
          <w:rFonts w:ascii="仿宋" w:hAnsi="仿宋" w:eastAsia="仿宋"/>
          <w:kern w:val="2"/>
          <w:sz w:val="28"/>
          <w:szCs w:val="28"/>
          <w:highlight w:val="none"/>
        </w:rPr>
        <w:t>各项纪律，认真学习，深入思考，理论联系实际，保质保量完成培训任务。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kern w:val="2"/>
          <w:sz w:val="28"/>
          <w:szCs w:val="28"/>
          <w:highlight w:val="none"/>
        </w:rPr>
        <w:t>.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sz w:val="28"/>
          <w:szCs w:val="28"/>
        </w:rPr>
        <w:t>学员</w:t>
      </w:r>
      <w:r>
        <w:rPr>
          <w:rFonts w:hint="eastAsia" w:ascii="仿宋" w:hAnsi="仿宋" w:eastAsia="仿宋"/>
          <w:sz w:val="28"/>
          <w:szCs w:val="28"/>
        </w:rPr>
        <w:t>要</w:t>
      </w:r>
      <w:r>
        <w:rPr>
          <w:rFonts w:ascii="仿宋" w:hAnsi="仿宋" w:eastAsia="仿宋"/>
          <w:sz w:val="28"/>
          <w:szCs w:val="28"/>
        </w:rPr>
        <w:t>参加</w:t>
      </w:r>
      <w:r>
        <w:rPr>
          <w:rFonts w:hint="eastAsia" w:ascii="仿宋" w:hAnsi="仿宋" w:eastAsia="仿宋"/>
          <w:sz w:val="28"/>
          <w:szCs w:val="28"/>
        </w:rPr>
        <w:t>培训班</w:t>
      </w:r>
      <w:r>
        <w:rPr>
          <w:rFonts w:ascii="仿宋" w:hAnsi="仿宋" w:eastAsia="仿宋"/>
          <w:sz w:val="28"/>
          <w:szCs w:val="28"/>
        </w:rPr>
        <w:t>全部活动，</w:t>
      </w:r>
      <w:r>
        <w:rPr>
          <w:rFonts w:hint="eastAsia" w:ascii="仿宋" w:hAnsi="仿宋" w:eastAsia="仿宋"/>
          <w:sz w:val="28"/>
          <w:szCs w:val="28"/>
        </w:rPr>
        <w:t>自觉遵守纪律，不迟到早退、不旷课，如确有特殊原因需请假，要提前向带班老师申请，并经所在党委副书记批准。无故缺勤1次或病事假2次及以上者视为未完成培训，不予结业。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/>
          <w:kern w:val="2"/>
          <w:sz w:val="28"/>
          <w:szCs w:val="28"/>
          <w:highlight w:val="none"/>
        </w:rPr>
        <w:t>.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 xml:space="preserve"> 高级党课结束后，由二级学院组织高级党课结业考试，考试形式为开卷考试，考试时间为一个半小时，考试过程中不予允许交头接耳和查阅手机。一经发现，则考试成绩无效并取消发展资格。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>量化考核学员学习情况，考核内容分为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结业考试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占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0%</w:t>
      </w:r>
      <w:r>
        <w:rPr>
          <w:rFonts w:hint="eastAsia" w:ascii="仿宋" w:hAnsi="仿宋" w:eastAsia="仿宋"/>
          <w:sz w:val="28"/>
          <w:szCs w:val="28"/>
        </w:rPr>
        <w:t>）；</w:t>
      </w:r>
      <w:r>
        <w:rPr>
          <w:rFonts w:ascii="仿宋" w:hAnsi="仿宋" w:eastAsia="仿宋"/>
          <w:sz w:val="28"/>
          <w:szCs w:val="28"/>
        </w:rPr>
        <w:t>平时</w:t>
      </w:r>
      <w:r>
        <w:rPr>
          <w:rFonts w:hint="eastAsia" w:ascii="仿宋" w:hAnsi="仿宋" w:eastAsia="仿宋"/>
          <w:sz w:val="28"/>
          <w:szCs w:val="28"/>
        </w:rPr>
        <w:t>学习表现（占5</w:t>
      </w:r>
      <w:r>
        <w:rPr>
          <w:rFonts w:ascii="仿宋" w:hAnsi="仿宋" w:eastAsia="仿宋"/>
          <w:sz w:val="28"/>
          <w:szCs w:val="28"/>
        </w:rPr>
        <w:t>0%</w:t>
      </w:r>
      <w:r>
        <w:rPr>
          <w:rFonts w:hint="eastAsia" w:ascii="仿宋" w:hAnsi="仿宋" w:eastAsia="仿宋"/>
          <w:sz w:val="28"/>
          <w:szCs w:val="28"/>
        </w:rPr>
        <w:t>）：包括</w:t>
      </w:r>
      <w:r>
        <w:rPr>
          <w:rFonts w:ascii="仿宋" w:hAnsi="仿宋" w:eastAsia="仿宋"/>
          <w:sz w:val="28"/>
          <w:szCs w:val="28"/>
        </w:rPr>
        <w:t>出勤率、社会实践</w:t>
      </w:r>
      <w:r>
        <w:rPr>
          <w:rFonts w:hint="eastAsia" w:ascii="仿宋" w:hAnsi="仿宋" w:eastAsia="仿宋"/>
          <w:sz w:val="28"/>
          <w:szCs w:val="28"/>
        </w:rPr>
        <w:t>，讨论发言；</w:t>
      </w:r>
      <w:r>
        <w:rPr>
          <w:rFonts w:ascii="仿宋" w:hAnsi="仿宋" w:eastAsia="仿宋"/>
          <w:sz w:val="28"/>
          <w:szCs w:val="28"/>
        </w:rPr>
        <w:t>联系思想</w:t>
      </w:r>
      <w:r>
        <w:rPr>
          <w:rFonts w:hint="eastAsia" w:ascii="仿宋" w:hAnsi="仿宋" w:eastAsia="仿宋"/>
          <w:sz w:val="28"/>
          <w:szCs w:val="28"/>
        </w:rPr>
        <w:t>实际</w:t>
      </w:r>
      <w:r>
        <w:rPr>
          <w:rFonts w:ascii="仿宋" w:hAnsi="仿宋" w:eastAsia="仿宋"/>
          <w:sz w:val="28"/>
          <w:szCs w:val="28"/>
        </w:rPr>
        <w:t>撰写</w:t>
      </w:r>
      <w:r>
        <w:rPr>
          <w:rFonts w:hint="eastAsia" w:ascii="仿宋" w:hAnsi="仿宋" w:eastAsia="仿宋"/>
          <w:sz w:val="28"/>
          <w:szCs w:val="28"/>
        </w:rPr>
        <w:t>的心得总结</w:t>
      </w:r>
      <w:r>
        <w:rPr>
          <w:rFonts w:ascii="仿宋" w:hAnsi="仿宋" w:eastAsia="仿宋"/>
          <w:sz w:val="28"/>
          <w:szCs w:val="28"/>
        </w:rPr>
        <w:t>等。考核合格者，党校统一发结业证书。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</w:p>
    <w:p>
      <w:pPr>
        <w:pStyle w:val="4"/>
        <w:spacing w:before="0" w:beforeAutospacing="0" w:after="0" w:afterAutospacing="0"/>
        <w:jc w:val="right"/>
        <w:rPr>
          <w:rFonts w:hint="eastAsia" w:ascii="仿宋" w:hAnsi="仿宋" w:eastAsia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中共北京建筑大学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电气与信息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工程学院委员会</w:t>
      </w:r>
    </w:p>
    <w:p>
      <w:pPr>
        <w:pStyle w:val="4"/>
        <w:wordWrap w:val="0"/>
        <w:spacing w:before="0" w:beforeAutospacing="0" w:after="0" w:afterAutospacing="0"/>
        <w:jc w:val="right"/>
        <w:rPr>
          <w:rFonts w:hint="eastAsia" w:ascii="仿宋" w:hAnsi="仿宋" w:eastAsia="仿宋"/>
          <w:kern w:val="2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二零一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/>
          <w:kern w:val="2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 xml:space="preserve">        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附件1 培训名额</w:t>
      </w:r>
    </w:p>
    <w:tbl>
      <w:tblPr>
        <w:tblStyle w:val="6"/>
        <w:tblW w:w="7952" w:type="dxa"/>
        <w:jc w:val="center"/>
        <w:tblInd w:w="-10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6"/>
        <w:gridCol w:w="223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组织名称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大兴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2015级本科生团支部</w:t>
            </w:r>
          </w:p>
        </w:tc>
        <w:tc>
          <w:tcPr>
            <w:tcW w:w="223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1人/团支部</w:t>
            </w:r>
          </w:p>
        </w:tc>
        <w:tc>
          <w:tcPr>
            <w:tcW w:w="2131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36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2016级本科生团支部</w:t>
            </w:r>
          </w:p>
        </w:tc>
        <w:tc>
          <w:tcPr>
            <w:tcW w:w="223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3人/团支部</w:t>
            </w:r>
          </w:p>
        </w:tc>
        <w:tc>
          <w:tcPr>
            <w:tcW w:w="2131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36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2017级本科生团支部</w:t>
            </w:r>
          </w:p>
        </w:tc>
        <w:tc>
          <w:tcPr>
            <w:tcW w:w="223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2人/团支部</w:t>
            </w:r>
          </w:p>
        </w:tc>
        <w:tc>
          <w:tcPr>
            <w:tcW w:w="2131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36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学院团委</w:t>
            </w:r>
          </w:p>
        </w:tc>
        <w:tc>
          <w:tcPr>
            <w:tcW w:w="223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2131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36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学院学生会</w:t>
            </w:r>
          </w:p>
        </w:tc>
        <w:tc>
          <w:tcPr>
            <w:tcW w:w="223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2131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36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2016级研究生团支部</w:t>
            </w:r>
          </w:p>
        </w:tc>
        <w:tc>
          <w:tcPr>
            <w:tcW w:w="2235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36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2人/团支部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2017级研究生团支部</w:t>
            </w:r>
          </w:p>
        </w:tc>
        <w:tc>
          <w:tcPr>
            <w:tcW w:w="2235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36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2人/团支部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5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学院研究生会</w:t>
            </w:r>
          </w:p>
        </w:tc>
        <w:tc>
          <w:tcPr>
            <w:tcW w:w="2235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36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1人</w:t>
            </w:r>
          </w:p>
        </w:tc>
      </w:tr>
    </w:tbl>
    <w:p>
      <w:pPr>
        <w:pStyle w:val="4"/>
        <w:wordWrap w:val="0"/>
        <w:spacing w:before="0" w:beforeAutospacing="0" w:after="0" w:afterAutospacing="0"/>
        <w:jc w:val="both"/>
        <w:rPr>
          <w:rFonts w:hint="eastAsia" w:ascii="仿宋" w:hAnsi="仿宋" w:eastAsia="仿宋"/>
          <w:kern w:val="2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b/>
          <w:sz w:val="24"/>
        </w:rPr>
      </w:pP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附件2-1 第61期入党积极分子培训班安排（大兴校区）</w:t>
      </w:r>
    </w:p>
    <w:tbl>
      <w:tblPr>
        <w:tblStyle w:val="6"/>
        <w:tblW w:w="1379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693"/>
        <w:gridCol w:w="6520"/>
        <w:gridCol w:w="1555"/>
        <w:gridCol w:w="15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周次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时  间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培  训  内 容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主讲（办）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地 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4月11日18:00</w:t>
            </w:r>
          </w:p>
        </w:tc>
        <w:tc>
          <w:tcPr>
            <w:tcW w:w="652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一、第61期入党积极分子培训班开学典礼（两校区全体学员及各学院副书记、负责教师参加）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二、讲座1：坚定理想信念 为实现中国梦而奋斗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朱静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张素芳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环能报告厅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9</w:t>
            </w: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4月18日18:00</w:t>
            </w:r>
          </w:p>
        </w:tc>
        <w:tc>
          <w:tcPr>
            <w:tcW w:w="652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讲座2：“四个全面”——引领民族复兴的战略布局</w:t>
            </w:r>
          </w:p>
        </w:tc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王德中</w:t>
            </w:r>
          </w:p>
        </w:tc>
        <w:tc>
          <w:tcPr>
            <w:tcW w:w="15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环能报告厅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10</w:t>
            </w: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4月25日18:00</w:t>
            </w:r>
          </w:p>
        </w:tc>
        <w:tc>
          <w:tcPr>
            <w:tcW w:w="652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讲座3：践行社会主义核心价值观</w:t>
            </w:r>
          </w:p>
        </w:tc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肖建杰</w:t>
            </w:r>
          </w:p>
        </w:tc>
        <w:tc>
          <w:tcPr>
            <w:tcW w:w="15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环能报告厅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11</w:t>
            </w: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5月2日18:00</w:t>
            </w:r>
          </w:p>
        </w:tc>
        <w:tc>
          <w:tcPr>
            <w:tcW w:w="652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讲座4： 新时代中国特色社会主义政治文明</w:t>
            </w:r>
          </w:p>
        </w:tc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汪琼枝</w:t>
            </w:r>
          </w:p>
        </w:tc>
        <w:tc>
          <w:tcPr>
            <w:tcW w:w="15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环能报告厅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12</w:t>
            </w: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5月9日18:00</w:t>
            </w:r>
          </w:p>
        </w:tc>
        <w:tc>
          <w:tcPr>
            <w:tcW w:w="652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自学、实践、考试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各学院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8-12</w:t>
            </w: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自定</w:t>
            </w:r>
          </w:p>
        </w:tc>
        <w:tc>
          <w:tcPr>
            <w:tcW w:w="652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自学：</w:t>
            </w:r>
            <w:r>
              <w:rPr>
                <w:rFonts w:hint="eastAsia" w:ascii="仿宋_GB2312" w:hAnsi="仿宋" w:eastAsia="仿宋_GB2312"/>
                <w:sz w:val="24"/>
              </w:rPr>
              <w:t>自己学习相关材料等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，作学习摘记并撰写学习心得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各学院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8-12</w:t>
            </w: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自定</w:t>
            </w:r>
          </w:p>
        </w:tc>
        <w:tc>
          <w:tcPr>
            <w:tcW w:w="6520" w:type="dxa"/>
            <w:vAlign w:val="center"/>
          </w:tcPr>
          <w:p>
            <w:pPr>
              <w:autoSpaceDE w:val="0"/>
              <w:autoSpaceDN w:val="0"/>
              <w:adjustRightInd w:val="0"/>
              <w:ind w:left="1080" w:hanging="1080" w:hangingChars="45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实践活动：开展志愿者服务、红色1+1、义务劳动、学风建设等实践活动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各学院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9-11</w:t>
            </w: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自定</w:t>
            </w:r>
          </w:p>
        </w:tc>
        <w:tc>
          <w:tcPr>
            <w:tcW w:w="6520" w:type="dxa"/>
            <w:vAlign w:val="center"/>
          </w:tcPr>
          <w:p>
            <w:pPr>
              <w:autoSpaceDE w:val="0"/>
              <w:autoSpaceDN w:val="0"/>
              <w:adjustRightInd w:val="0"/>
              <w:ind w:left="360" w:hanging="360" w:hangingChars="15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一、学习研讨：（1）就培训和自学内容谈收获体会；（2）你准备如何端正入党动机，努力创造条件争取早日加入党？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二、撰写结业总结</w:t>
            </w:r>
          </w:p>
        </w:tc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各学院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11</w:t>
            </w: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5月11日前</w:t>
            </w:r>
          </w:p>
        </w:tc>
        <w:tc>
          <w:tcPr>
            <w:tcW w:w="652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培训手册交学院审阅、评定成绩</w:t>
            </w:r>
          </w:p>
        </w:tc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各学院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12</w:t>
            </w: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5月16日前</w:t>
            </w:r>
          </w:p>
        </w:tc>
        <w:tc>
          <w:tcPr>
            <w:tcW w:w="652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批改考试卷、结业汇总表交党校, 审核，颁发结业证书</w:t>
            </w:r>
          </w:p>
        </w:tc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党校、学院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spacing w:line="480" w:lineRule="exact"/>
        <w:ind w:firstLine="480" w:firstLineChars="200"/>
        <w:jc w:val="center"/>
        <w:rPr>
          <w:rFonts w:hint="eastAsia" w:ascii="仿宋_GB2312" w:hAnsi="仿宋" w:eastAsia="仿宋_GB2312"/>
          <w:sz w:val="24"/>
        </w:rPr>
      </w:pPr>
    </w:p>
    <w:p>
      <w:pPr>
        <w:spacing w:line="480" w:lineRule="exact"/>
        <w:ind w:firstLine="480" w:firstLineChars="200"/>
        <w:jc w:val="center"/>
        <w:rPr>
          <w:rFonts w:hint="eastAsia" w:ascii="仿宋_GB2312" w:hAnsi="仿宋" w:eastAsia="仿宋_GB2312"/>
          <w:sz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2"/>
          <w:sz w:val="28"/>
          <w:szCs w:val="28"/>
          <w:highlight w:val="none"/>
          <w:lang w:val="en-US" w:eastAsia="zh-CN"/>
        </w:rPr>
        <w:t>附件2-2： 第61期入党积极分子培训班安排（西城校区）</w:t>
      </w:r>
    </w:p>
    <w:p>
      <w:pPr>
        <w:spacing w:line="480" w:lineRule="exact"/>
        <w:rPr>
          <w:rFonts w:hint="eastAsia" w:ascii="仿宋_GB2312" w:hAnsi="仿宋" w:eastAsia="仿宋_GB2312"/>
          <w:b/>
          <w:sz w:val="24"/>
        </w:rPr>
      </w:pPr>
    </w:p>
    <w:tbl>
      <w:tblPr>
        <w:tblStyle w:val="6"/>
        <w:tblW w:w="13674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18"/>
        <w:gridCol w:w="2693"/>
        <w:gridCol w:w="6520"/>
        <w:gridCol w:w="1560"/>
        <w:gridCol w:w="1483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周次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时 间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内    容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主讲（办）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</w:rPr>
              <w:t>地 点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4月11日18:00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一、第61期入党积极分子培训班开学典礼（两校区全体学员及各学院副书记、负责教师参加）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二、讲座1：“四个全面”——引领民族复兴的战略布局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王德中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教1-204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4月18日18:00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讲座2：坚定理想信念 为实现中国梦而奋斗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张素芳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教1-204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4月25日18:00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讲座3：新时代中国特色社会主义政治文明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汪琼枝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教1-204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5月2日18:00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讲座4：践行社会主义核心价值观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肖建杰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教1-204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5月9日18:00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自学、实践、考试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各学院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8-12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自定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自学：自己学习相关材料等，作学习摘记并撰写学习心得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各学院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8-12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自定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实践活动：开展志愿者服务、红色1+1、义务劳动、学风建设等实践活动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各学院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9-11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自定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一、学习研讨：（1）就培训和自学内容谈收获体会；（2）你准备如何端正入党动机，努力创造条件争取早日加入党？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二、撰写结业总结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各学院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5月11日前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培训手册交学院审阅、评定成绩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各学院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5月16日前</w:t>
            </w:r>
          </w:p>
        </w:tc>
        <w:tc>
          <w:tcPr>
            <w:tcW w:w="6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批改考试卷、结业汇总表交党校, 审核，颁发结业证书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党校、学院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spacing w:line="480" w:lineRule="exact"/>
        <w:rPr>
          <w:rFonts w:hint="eastAsia" w:ascii="仿宋_GB2312" w:hAnsi="仿宋" w:eastAsia="仿宋_GB2312"/>
          <w:sz w:val="24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附件3 </w:t>
      </w:r>
      <w:r>
        <w:rPr>
          <w:rFonts w:hint="eastAsia" w:ascii="仿宋" w:hAnsi="仿宋" w:eastAsia="仿宋"/>
          <w:sz w:val="28"/>
          <w:szCs w:val="28"/>
        </w:rPr>
        <w:t>自学内容</w:t>
      </w:r>
    </w:p>
    <w:p>
      <w:pPr>
        <w:pStyle w:val="2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kern w:val="2"/>
          <w:sz w:val="28"/>
          <w:szCs w:val="28"/>
        </w:rPr>
        <w:t>1.《中国共产党章程》</w:t>
      </w:r>
    </w:p>
    <w:p>
      <w:pPr>
        <w:pStyle w:val="2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kern w:val="2"/>
          <w:sz w:val="28"/>
          <w:szCs w:val="28"/>
        </w:rPr>
        <w:t>2.中国共产党</w:t>
      </w:r>
      <w:r>
        <w:rPr>
          <w:rFonts w:hint="eastAsia" w:ascii="仿宋" w:hAnsi="仿宋" w:eastAsia="仿宋"/>
          <w:b w:val="0"/>
          <w:bCs w:val="0"/>
          <w:kern w:val="2"/>
          <w:sz w:val="28"/>
          <w:szCs w:val="28"/>
        </w:rPr>
        <w:fldChar w:fldCharType="begin"/>
      </w:r>
      <w:r>
        <w:rPr>
          <w:rFonts w:hint="eastAsia" w:ascii="仿宋" w:hAnsi="仿宋" w:eastAsia="仿宋"/>
          <w:b w:val="0"/>
          <w:bCs w:val="0"/>
          <w:kern w:val="2"/>
          <w:sz w:val="28"/>
          <w:szCs w:val="28"/>
        </w:rPr>
        <w:instrText xml:space="preserve"> HYPERLINK "https://baike.so.com/doc/7640015-7914110.html" \t "https://baike.so.com/doc/_blank" </w:instrText>
      </w:r>
      <w:r>
        <w:rPr>
          <w:rFonts w:hint="eastAsia" w:ascii="仿宋" w:hAnsi="仿宋" w:eastAsia="仿宋"/>
          <w:b w:val="0"/>
          <w:bCs w:val="0"/>
          <w:kern w:val="2"/>
          <w:sz w:val="28"/>
          <w:szCs w:val="28"/>
        </w:rPr>
        <w:fldChar w:fldCharType="separate"/>
      </w:r>
      <w:r>
        <w:rPr>
          <w:rFonts w:ascii="仿宋" w:hAnsi="仿宋" w:eastAsia="仿宋"/>
          <w:b w:val="0"/>
          <w:bCs w:val="0"/>
          <w:kern w:val="2"/>
          <w:sz w:val="28"/>
          <w:szCs w:val="28"/>
        </w:rPr>
        <w:t>第十九次全国代表大会</w:t>
      </w:r>
      <w:r>
        <w:rPr>
          <w:rFonts w:ascii="仿宋" w:hAnsi="仿宋" w:eastAsia="仿宋"/>
          <w:b w:val="0"/>
          <w:bCs w:val="0"/>
          <w:kern w:val="2"/>
          <w:sz w:val="28"/>
          <w:szCs w:val="28"/>
        </w:rPr>
        <w:fldChar w:fldCharType="end"/>
      </w:r>
      <w:r>
        <w:rPr>
          <w:rFonts w:hint="eastAsia" w:ascii="仿宋" w:hAnsi="仿宋" w:eastAsia="仿宋"/>
          <w:b w:val="0"/>
          <w:bCs w:val="0"/>
          <w:kern w:val="2"/>
          <w:sz w:val="28"/>
          <w:szCs w:val="28"/>
        </w:rPr>
        <w:t>报告</w:t>
      </w:r>
    </w:p>
    <w:p>
      <w:pPr>
        <w:pStyle w:val="2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kern w:val="2"/>
          <w:sz w:val="28"/>
          <w:szCs w:val="28"/>
        </w:rPr>
        <w:t>3.《习近平谈治国理政》（第一卷、第二卷）</w:t>
      </w:r>
    </w:p>
    <w:p>
      <w:pPr>
        <w:pStyle w:val="2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kern w:val="2"/>
          <w:sz w:val="28"/>
          <w:szCs w:val="28"/>
        </w:rPr>
        <w:t>4.党的规章制度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5.《北京建筑大学入党积极分子培训班学习读本》（2018版）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6.北京建筑大学第一次党代会报告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t>7.《习近平总书记论高校思想政治工作2013-2017重要讲话汇编</w:t>
      </w:r>
      <w:r>
        <w:rPr>
          <w:rFonts w:ascii="仿宋" w:hAnsi="仿宋" w:eastAsia="仿宋"/>
          <w:sz w:val="28"/>
          <w:szCs w:val="28"/>
        </w:rPr>
        <w:t>—</w:t>
      </w:r>
      <w:r>
        <w:rPr>
          <w:rFonts w:hint="eastAsia" w:ascii="仿宋" w:hAnsi="仿宋" w:eastAsia="仿宋"/>
          <w:sz w:val="28"/>
          <w:szCs w:val="28"/>
        </w:rPr>
        <w:t>思德论坛培训材料》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附件4 </w:t>
      </w:r>
      <w:r>
        <w:rPr>
          <w:rFonts w:hint="eastAsia" w:ascii="仿宋" w:hAnsi="仿宋" w:eastAsia="仿宋"/>
          <w:sz w:val="28"/>
          <w:szCs w:val="28"/>
        </w:rPr>
        <w:t>专题讨论参考题目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1.为什么说中国共产党是中国特色社会主义事业的领导核心？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2.在当代中国，我们的民族、国家应该坚守什么样的核心价值观？大学生怎样树立和培育社会主义核心价值观？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3.为什么说站在时代前列是党的先进性的集中体现？新时期大学生党员的先进性在学校生活中如何体现？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4.如何端正入党动机，创造条件争取早日加入中国共产党？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5.新时代北建大的学生党员风貌。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6学生党员如何在思想、学习上发挥示范引领作用？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7.党员如何在宿舍中发挥先锋模范作用？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A8D889"/>
    <w:multiLevelType w:val="singleLevel"/>
    <w:tmpl w:val="B5A8D88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90533"/>
    <w:rsid w:val="05887005"/>
    <w:rsid w:val="08B542D7"/>
    <w:rsid w:val="0A5929FF"/>
    <w:rsid w:val="0FE12D37"/>
    <w:rsid w:val="12307FA0"/>
    <w:rsid w:val="1C790533"/>
    <w:rsid w:val="28D232BD"/>
    <w:rsid w:val="31DF7FDD"/>
    <w:rsid w:val="39C438D3"/>
    <w:rsid w:val="40086B80"/>
    <w:rsid w:val="521F15D8"/>
    <w:rsid w:val="54283DA4"/>
    <w:rsid w:val="547449E7"/>
    <w:rsid w:val="57CF47CE"/>
    <w:rsid w:val="60A23264"/>
    <w:rsid w:val="61731105"/>
    <w:rsid w:val="66040AA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xtzz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2018-04-02T07:49:00Z</dcterms:created>
  <dc:creator>高静</dc:creator>
  <cp:lastModifiedBy>高静</cp:lastModifiedBy>
  <dcterms:modified xsi:type="dcterms:W3CDTF">2018-04-03T02:13:24Z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